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23.476,60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23.476,60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três mil e quatrocentos e setenta e seis reais e sessenta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3,32899189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4.963.410.553,23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7.052,16496600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