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195,00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195,00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noventa e cinco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2,85507839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4.722.690.109,30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68,29935100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